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D93EC" w14:textId="77777777" w:rsidR="003754A5" w:rsidRDefault="003754A5">
      <w:pPr>
        <w:rPr>
          <w:rFonts w:hint="eastAsia"/>
        </w:rPr>
      </w:pPr>
    </w:p>
    <w:p w14:paraId="00608E18" w14:textId="77777777" w:rsidR="003754A5" w:rsidRDefault="00360C10">
      <w:r>
        <w:rPr>
          <w:noProof/>
        </w:rPr>
        <mc:AlternateContent>
          <mc:Choice Requires="wps">
            <w:drawing>
              <wp:anchor distT="0" distB="0" distL="114300" distR="114300" simplePos="0" relativeHeight="251659264" behindDoc="0" locked="0" layoutInCell="1" allowOverlap="1" wp14:anchorId="26DD09A6" wp14:editId="08C7E8AB">
                <wp:simplePos x="0" y="0"/>
                <wp:positionH relativeFrom="margin">
                  <wp:posOffset>0</wp:posOffset>
                </wp:positionH>
                <wp:positionV relativeFrom="paragraph">
                  <wp:posOffset>99060</wp:posOffset>
                </wp:positionV>
                <wp:extent cx="5486400" cy="792480"/>
                <wp:effectExtent l="19050" t="22860" r="19050" b="1333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792480"/>
                        </a:xfrm>
                        <a:prstGeom prst="rect">
                          <a:avLst/>
                        </a:prstGeom>
                      </wps:spPr>
                      <wps:txbx>
                        <w:txbxContent>
                          <w:p w14:paraId="6B7B2291" w14:textId="77777777" w:rsidR="003754A5" w:rsidRDefault="00360C10">
                            <w:pPr>
                              <w:jc w:val="center"/>
                              <w:rPr>
                                <w:kern w:val="0"/>
                                <w:sz w:val="24"/>
                              </w:rPr>
                            </w:pPr>
                            <w:r>
                              <w:rPr>
                                <w:rFonts w:ascii="新宋体" w:eastAsia="新宋体" w:hAnsi="新宋体" w:hint="eastAsia"/>
                                <w:b/>
                                <w:bCs/>
                                <w:color w:val="FF0000"/>
                                <w:sz w:val="80"/>
                                <w:szCs w:val="80"/>
                                <w14:textOutline w14:w="9525" w14:cap="flat" w14:cmpd="sng" w14:algn="ctr">
                                  <w14:solidFill>
                                    <w14:srgbClr w14:val="FF0000"/>
                                  </w14:solidFill>
                                  <w14:prstDash w14:val="solid"/>
                                  <w14:round/>
                                </w14:textOutline>
                              </w:rPr>
                              <w:t>贵州大学烟草学院文件</w:t>
                            </w:r>
                          </w:p>
                        </w:txbxContent>
                      </wps:txbx>
                      <wps:bodyPr wrap="square" numCol="1" fromWordArt="1">
                        <a:prstTxWarp prst="textPlain">
                          <a:avLst>
                            <a:gd name="adj" fmla="val 50000"/>
                          </a:avLst>
                        </a:prstTxWarp>
                        <a:spAutoFit/>
                      </wps:bodyPr>
                    </wps:wsp>
                  </a:graphicData>
                </a:graphic>
              </wp:anchor>
            </w:drawing>
          </mc:Choice>
          <mc:Fallback>
            <w:pict>
              <v:shapetype w14:anchorId="26DD09A6" id="_x0000_t202" coordsize="21600,21600" o:spt="202" path="m,l,21600r21600,l21600,xe">
                <v:stroke joinstyle="miter"/>
                <v:path gradientshapeok="t" o:connecttype="rect"/>
              </v:shapetype>
              <v:shape id="WordArt 2" o:spid="_x0000_s1026" type="#_x0000_t202" style="position:absolute;left:0;text-align:left;margin-left:0;margin-top:7.8pt;width:6in;height:62.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" filled="f" stroked="f">
                <o:lock v:ext="edit" shapetype="t"/>
                <v:textbox style="mso-fit-shape-to-text:t">
                  <w:txbxContent>
                    <w:p w14:paraId="6B7B2291" w14:textId="77777777" w:rsidR="003754A5" w:rsidRDefault="00360C10">
                      <w:pPr>
                        <w:jc w:val="center"/>
                        <w:rPr>
                          <w:kern w:val="0"/>
                          <w:sz w:val="24"/>
                        </w:rPr>
                      </w:pPr>
                      <w:r>
                        <w:rPr>
                          <w:rFonts w:ascii="新宋体" w:eastAsia="新宋体" w:hAnsi="新宋体" w:hint="eastAsia"/>
                          <w:b/>
                          <w:bCs/>
                          <w:color w:val="FF0000"/>
                          <w:sz w:val="80"/>
                          <w:szCs w:val="80"/>
                          <w14:textOutline w14:w="9525" w14:cap="flat" w14:cmpd="sng" w14:algn="ctr">
                            <w14:solidFill>
                              <w14:srgbClr w14:val="FF0000"/>
                            </w14:solidFill>
                            <w14:prstDash w14:val="solid"/>
                            <w14:round/>
                          </w14:textOutline>
                        </w:rPr>
                        <w:t>贵州大学烟草学院文件</w:t>
                      </w:r>
                    </w:p>
                  </w:txbxContent>
                </v:textbox>
                <w10:wrap anchorx="margin"/>
              </v:shape>
            </w:pict>
          </mc:Fallback>
        </mc:AlternateContent>
      </w:r>
    </w:p>
    <w:p w14:paraId="1337DB87" w14:textId="77777777" w:rsidR="003754A5" w:rsidRDefault="003754A5"/>
    <w:p w14:paraId="60ED9558" w14:textId="77777777" w:rsidR="003754A5" w:rsidRDefault="003754A5"/>
    <w:p w14:paraId="15874E3C" w14:textId="77777777" w:rsidR="003754A5" w:rsidRDefault="003754A5"/>
    <w:p w14:paraId="02D103C1" w14:textId="77777777" w:rsidR="003754A5" w:rsidRDefault="003754A5"/>
    <w:p w14:paraId="2789C02F" w14:textId="39B8B6AB" w:rsidR="003754A5" w:rsidRDefault="00360C10">
      <w:pPr>
        <w:jc w:val="center"/>
        <w:rPr>
          <w:rFonts w:ascii="仿宋" w:eastAsia="仿宋" w:hAnsi="仿宋"/>
          <w:sz w:val="32"/>
          <w:szCs w:val="32"/>
        </w:rPr>
      </w:pPr>
      <w:r>
        <w:rPr>
          <w:rFonts w:eastAsia="仿宋_GB2312" w:hint="eastAsia"/>
          <w:bCs/>
          <w:sz w:val="32"/>
          <w:szCs w:val="32"/>
        </w:rPr>
        <w:t>院</w:t>
      </w:r>
      <w:r>
        <w:rPr>
          <w:rFonts w:eastAsia="仿宋_GB2312"/>
          <w:bCs/>
          <w:sz w:val="32"/>
          <w:szCs w:val="32"/>
        </w:rPr>
        <w:t>发</w:t>
      </w:r>
      <w:r w:rsidR="005C22F1">
        <w:rPr>
          <w:rFonts w:ascii="仿宋_GB2312" w:eastAsia="仿宋_GB2312" w:hint="eastAsia"/>
          <w:bCs/>
          <w:sz w:val="32"/>
          <w:szCs w:val="32"/>
        </w:rPr>
        <w:t>〔2</w:t>
      </w:r>
      <w:r w:rsidR="005C22F1">
        <w:rPr>
          <w:rFonts w:ascii="仿宋_GB2312" w:eastAsia="仿宋_GB2312"/>
          <w:bCs/>
          <w:sz w:val="32"/>
          <w:szCs w:val="32"/>
        </w:rPr>
        <w:t>024</w:t>
      </w:r>
      <w:r w:rsidR="005C22F1">
        <w:rPr>
          <w:rFonts w:ascii="仿宋_GB2312" w:eastAsia="仿宋_GB2312" w:hint="eastAsia"/>
          <w:bCs/>
          <w:sz w:val="32"/>
          <w:szCs w:val="32"/>
        </w:rPr>
        <w:t>〕</w:t>
      </w:r>
      <w:r>
        <w:rPr>
          <w:rFonts w:eastAsia="仿宋_GB2312" w:hint="eastAsia"/>
          <w:bCs/>
          <w:sz w:val="32"/>
          <w:szCs w:val="32"/>
        </w:rPr>
        <w:t>8</w:t>
      </w:r>
      <w:r>
        <w:rPr>
          <w:rFonts w:eastAsia="仿宋_GB2312"/>
          <w:bCs/>
          <w:sz w:val="32"/>
          <w:szCs w:val="32"/>
        </w:rPr>
        <w:t>号</w:t>
      </w:r>
    </w:p>
    <w:p w14:paraId="6A9E7FF9" w14:textId="77777777" w:rsidR="003754A5" w:rsidRDefault="00360C10">
      <w:r>
        <w:rPr>
          <w:noProof/>
        </w:rPr>
        <mc:AlternateContent>
          <mc:Choice Requires="wps">
            <w:drawing>
              <wp:anchor distT="0" distB="0" distL="114300" distR="114300" simplePos="0" relativeHeight="251660288" behindDoc="0" locked="0" layoutInCell="1" allowOverlap="1" wp14:anchorId="7835A6E8" wp14:editId="3D511ABA">
                <wp:simplePos x="0" y="0"/>
                <wp:positionH relativeFrom="column">
                  <wp:posOffset>-76200</wp:posOffset>
                </wp:positionH>
                <wp:positionV relativeFrom="paragraph">
                  <wp:posOffset>99060</wp:posOffset>
                </wp:positionV>
                <wp:extent cx="5562600" cy="0"/>
                <wp:effectExtent l="0" t="15875" r="0" b="45085"/>
                <wp:wrapNone/>
                <wp:docPr id="1" name="直接连接符 1"/>
                <wp:cNvGraphicFramePr/>
                <a:graphic xmlns:a="http://schemas.openxmlformats.org/drawingml/2006/main">
                  <a:graphicData uri="http://schemas.microsoft.com/office/word/2010/wordprocessingShape">
                    <wps:wsp>
                      <wps:cNvCnPr/>
                      <wps:spPr>
                        <a:xfrm>
                          <a:off x="0" y="0"/>
                          <a:ext cx="5562600" cy="0"/>
                        </a:xfrm>
                        <a:prstGeom prst="line">
                          <a:avLst/>
                        </a:prstGeom>
                        <a:ln w="6350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6pt;margin-top:7.8pt;height:0pt;width:438pt;z-index:251660288;mso-width-relative:page;mso-height-relative:page;" filled="f" stroked="t" coordsize="21600,21600" o:gfxdata="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Syr0rTAAAACQEAAA8AAAAAAAAAAQAgAAAAIgAAAGRycy9kb3ducmV2LnhtbFBLAQIUABQAAAAI&#10;AIdO4kDDhQRy8gEAAOcDAAAOAAAAAAAAAAEAIAAAACIBAABkcnMvZTJvRG9jLnhtbFBLBQYAAAAA&#10;BgAGAFkBAACGBQAAAAA=&#10;">
                <v:fill on="f" focussize="0,0"/>
                <v:stroke weight="5pt" color="#FF0000" joinstyle="round"/>
                <v:imagedata o:title=""/>
                <o:lock v:ext="edit" aspectratio="f"/>
              </v:line>
            </w:pict>
          </mc:Fallback>
        </mc:AlternateContent>
      </w:r>
    </w:p>
    <w:p w14:paraId="5DA06D70" w14:textId="77777777" w:rsidR="003754A5" w:rsidRDefault="003754A5"/>
    <w:p w14:paraId="4127CFE0" w14:textId="77777777" w:rsidR="00171345" w:rsidRDefault="00171345" w:rsidP="00171345">
      <w:pPr>
        <w:spacing w:line="560" w:lineRule="exact"/>
        <w:jc w:val="center"/>
        <w:rPr>
          <w:rFonts w:eastAsia="方正小标宋简体"/>
          <w:bCs/>
          <w:sz w:val="44"/>
          <w:szCs w:val="32"/>
          <w:lang w:bidi="hi-IN"/>
        </w:rPr>
      </w:pPr>
      <w:r w:rsidRPr="00CC0093">
        <w:rPr>
          <w:rFonts w:eastAsia="方正小标宋简体"/>
          <w:bCs/>
          <w:sz w:val="44"/>
          <w:szCs w:val="32"/>
          <w:lang w:bidi="hi-IN"/>
        </w:rPr>
        <w:t>贵州大学</w:t>
      </w:r>
      <w:r>
        <w:rPr>
          <w:rFonts w:eastAsia="方正小标宋简体" w:hint="eastAsia"/>
          <w:bCs/>
          <w:sz w:val="44"/>
          <w:szCs w:val="32"/>
          <w:lang w:bidi="hi-IN"/>
        </w:rPr>
        <w:t>烟草学院</w:t>
      </w:r>
    </w:p>
    <w:p w14:paraId="5A2C8700" w14:textId="5B896656" w:rsidR="00171345" w:rsidRPr="00171345" w:rsidRDefault="00171345" w:rsidP="00171345">
      <w:pPr>
        <w:spacing w:line="560" w:lineRule="exact"/>
        <w:jc w:val="center"/>
        <w:rPr>
          <w:rFonts w:ascii="方正小标宋简体" w:eastAsia="方正小标宋简体" w:hAnsi="方正小标宋简体" w:cs="方正小标宋简体"/>
          <w:sz w:val="44"/>
          <w:szCs w:val="44"/>
        </w:rPr>
      </w:pPr>
      <w:r w:rsidRPr="00CC0093">
        <w:rPr>
          <w:rFonts w:eastAsia="方正小标宋简体"/>
          <w:bCs/>
          <w:sz w:val="44"/>
          <w:szCs w:val="32"/>
          <w:lang w:bidi="hi-IN"/>
        </w:rPr>
        <w:t>关于印发《</w:t>
      </w:r>
      <w:r>
        <w:rPr>
          <w:rFonts w:ascii="方正小标宋简体" w:eastAsia="方正小标宋简体" w:hAnsi="方正小标宋简体" w:cs="方正小标宋简体" w:hint="eastAsia"/>
          <w:sz w:val="44"/>
          <w:szCs w:val="44"/>
        </w:rPr>
        <w:t>贵州大学烟草学院硕士研究生导师招生资格年度审核管理办法（修订）</w:t>
      </w:r>
      <w:r w:rsidRPr="00CC0093">
        <w:rPr>
          <w:rFonts w:eastAsia="方正小标宋简体"/>
          <w:bCs/>
          <w:sz w:val="44"/>
          <w:szCs w:val="32"/>
          <w:lang w:bidi="hi-IN"/>
        </w:rPr>
        <w:t>》的通知</w:t>
      </w:r>
    </w:p>
    <w:p w14:paraId="7943DE51" w14:textId="77777777" w:rsidR="00171345" w:rsidRPr="00171345" w:rsidRDefault="00171345" w:rsidP="00171345">
      <w:pPr>
        <w:spacing w:line="560" w:lineRule="exact"/>
        <w:rPr>
          <w:rFonts w:eastAsia="仿宋_GB2312"/>
          <w:sz w:val="32"/>
          <w:szCs w:val="34"/>
        </w:rPr>
      </w:pPr>
    </w:p>
    <w:p w14:paraId="3BB4C907" w14:textId="5F2D1D75" w:rsidR="00171345" w:rsidRPr="00CC0093" w:rsidRDefault="00171345" w:rsidP="00171345">
      <w:pPr>
        <w:adjustRightInd w:val="0"/>
        <w:snapToGrid w:val="0"/>
        <w:spacing w:line="560" w:lineRule="exact"/>
        <w:rPr>
          <w:rFonts w:eastAsia="仿宋_GB2312"/>
          <w:bCs/>
          <w:sz w:val="32"/>
          <w:szCs w:val="32"/>
          <w:lang w:bidi="hi-IN"/>
        </w:rPr>
      </w:pPr>
      <w:r>
        <w:rPr>
          <w:rFonts w:eastAsia="仿宋_GB2312" w:hint="eastAsia"/>
          <w:bCs/>
          <w:sz w:val="32"/>
          <w:szCs w:val="32"/>
          <w:lang w:bidi="hi-IN"/>
        </w:rPr>
        <w:t>院属</w:t>
      </w:r>
      <w:r w:rsidRPr="00CC0093">
        <w:rPr>
          <w:rFonts w:eastAsia="仿宋_GB2312"/>
          <w:bCs/>
          <w:sz w:val="32"/>
          <w:szCs w:val="32"/>
          <w:lang w:bidi="hi-IN"/>
        </w:rPr>
        <w:t>各单位</w:t>
      </w:r>
      <w:r w:rsidRPr="00CC0093">
        <w:rPr>
          <w:rFonts w:eastAsia="仿宋_GB2312"/>
          <w:bCs/>
          <w:sz w:val="32"/>
          <w:szCs w:val="32"/>
          <w:lang w:bidi="hi-IN"/>
        </w:rPr>
        <w:t>:</w:t>
      </w:r>
    </w:p>
    <w:p w14:paraId="2190F846" w14:textId="20C6523F" w:rsidR="00171345" w:rsidRPr="00CC0093" w:rsidRDefault="00171345" w:rsidP="00171345">
      <w:pPr>
        <w:adjustRightInd w:val="0"/>
        <w:snapToGrid w:val="0"/>
        <w:spacing w:line="560" w:lineRule="exact"/>
        <w:ind w:firstLineChars="200" w:firstLine="640"/>
        <w:rPr>
          <w:rFonts w:eastAsia="仿宋_GB2312"/>
          <w:bCs/>
          <w:sz w:val="32"/>
          <w:szCs w:val="32"/>
          <w:lang w:bidi="hi-IN"/>
        </w:rPr>
      </w:pPr>
      <w:r w:rsidRPr="00CC0093">
        <w:rPr>
          <w:rFonts w:eastAsia="仿宋_GB2312"/>
          <w:bCs/>
          <w:sz w:val="32"/>
          <w:szCs w:val="32"/>
          <w:lang w:bidi="hi-IN"/>
        </w:rPr>
        <w:t>《</w:t>
      </w:r>
      <w:r w:rsidRPr="00171345">
        <w:rPr>
          <w:rFonts w:eastAsia="仿宋_GB2312" w:hint="eastAsia"/>
          <w:bCs/>
          <w:sz w:val="32"/>
          <w:szCs w:val="32"/>
          <w:lang w:bidi="hi-IN"/>
        </w:rPr>
        <w:t>贵州大学烟草学院硕士研究生导师招生资格年度审核管理办法（修订）</w:t>
      </w:r>
      <w:r w:rsidRPr="00CC0093">
        <w:rPr>
          <w:rFonts w:eastAsia="仿宋_GB2312"/>
          <w:bCs/>
          <w:sz w:val="32"/>
          <w:szCs w:val="32"/>
          <w:lang w:bidi="hi-IN"/>
        </w:rPr>
        <w:t>》</w:t>
      </w:r>
      <w:r w:rsidRPr="00171345">
        <w:rPr>
          <w:rFonts w:eastAsia="仿宋_GB2312" w:hint="eastAsia"/>
          <w:bCs/>
          <w:sz w:val="32"/>
          <w:szCs w:val="32"/>
          <w:lang w:bidi="hi-IN"/>
        </w:rPr>
        <w:t>已经学院审议通过，</w:t>
      </w:r>
      <w:r w:rsidRPr="00CC0093">
        <w:rPr>
          <w:rFonts w:eastAsia="仿宋_GB2312"/>
          <w:bCs/>
          <w:sz w:val="32"/>
          <w:szCs w:val="32"/>
          <w:lang w:bidi="hi-IN"/>
        </w:rPr>
        <w:t>现印发给你们，请遵照执行。</w:t>
      </w:r>
    </w:p>
    <w:p w14:paraId="51914A07" w14:textId="77777777" w:rsidR="00171345" w:rsidRPr="00CC0093" w:rsidRDefault="00171345" w:rsidP="00171345">
      <w:pPr>
        <w:adjustRightInd w:val="0"/>
        <w:snapToGrid w:val="0"/>
        <w:spacing w:line="560" w:lineRule="exact"/>
        <w:ind w:firstLineChars="200" w:firstLine="640"/>
        <w:rPr>
          <w:rFonts w:eastAsia="仿宋_GB2312"/>
          <w:bCs/>
          <w:sz w:val="32"/>
          <w:szCs w:val="32"/>
          <w:lang w:bidi="hi-IN"/>
        </w:rPr>
      </w:pPr>
    </w:p>
    <w:p w14:paraId="4DD1DC03" w14:textId="77777777" w:rsidR="00171345" w:rsidRPr="00CC0093" w:rsidRDefault="00171345" w:rsidP="00171345">
      <w:pPr>
        <w:adjustRightInd w:val="0"/>
        <w:snapToGrid w:val="0"/>
        <w:spacing w:line="560" w:lineRule="exact"/>
        <w:ind w:firstLineChars="200" w:firstLine="640"/>
        <w:rPr>
          <w:rFonts w:eastAsia="仿宋_GB2312"/>
          <w:bCs/>
          <w:sz w:val="32"/>
          <w:szCs w:val="32"/>
          <w:lang w:bidi="hi-IN"/>
        </w:rPr>
      </w:pPr>
    </w:p>
    <w:p w14:paraId="43815140" w14:textId="77777777" w:rsidR="00DF3BF4" w:rsidRDefault="00DF3BF4" w:rsidP="00DF3BF4">
      <w:pPr>
        <w:widowControl/>
        <w:spacing w:line="600" w:lineRule="exact"/>
        <w:ind w:firstLineChars="200" w:firstLine="640"/>
        <w:jc w:val="right"/>
        <w:rPr>
          <w:rFonts w:ascii="仿宋_GB2312" w:eastAsia="仿宋_GB2312" w:hAnsi="仿宋_GB2312" w:cs="仿宋_GB2312"/>
          <w:sz w:val="32"/>
          <w:szCs w:val="32"/>
        </w:rPr>
      </w:pPr>
    </w:p>
    <w:p w14:paraId="5316EC1A" w14:textId="77777777" w:rsidR="00DF3BF4" w:rsidRDefault="00DF3BF4" w:rsidP="00DF3BF4">
      <w:pPr>
        <w:ind w:firstLineChars="100" w:firstLine="3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贵州大学烟草学院</w:t>
      </w:r>
    </w:p>
    <w:p w14:paraId="316C71D8" w14:textId="33F11EFA" w:rsidR="00DF3BF4" w:rsidRDefault="00DF3BF4" w:rsidP="00DF3BF4">
      <w:pPr>
        <w:ind w:firstLineChars="100" w:firstLine="3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w:t>
      </w:r>
    </w:p>
    <w:p w14:paraId="2858417D" w14:textId="77777777" w:rsidR="00DF3BF4" w:rsidRPr="00DF3BF4" w:rsidRDefault="00DF3BF4" w:rsidP="00DF3BF4">
      <w:pPr>
        <w:ind w:firstLineChars="100" w:firstLine="320"/>
        <w:rPr>
          <w:rFonts w:ascii="仿宋_GB2312" w:eastAsia="仿宋_GB2312" w:hAnsi="仿宋_GB2312" w:cs="仿宋_GB2312"/>
          <w:sz w:val="32"/>
          <w:szCs w:val="32"/>
        </w:rPr>
      </w:pPr>
    </w:p>
    <w:p w14:paraId="77383279" w14:textId="77777777" w:rsidR="00DF3BF4" w:rsidRDefault="00DF3BF4" w:rsidP="00DF3BF4">
      <w:pPr>
        <w:ind w:firstLineChars="100" w:firstLine="320"/>
        <w:rPr>
          <w:rFonts w:ascii="仿宋_GB2312" w:eastAsia="仿宋_GB2312" w:hAnsi="仿宋_GB2312" w:cs="仿宋_GB2312"/>
          <w:sz w:val="32"/>
          <w:szCs w:val="32"/>
        </w:rPr>
      </w:pPr>
    </w:p>
    <w:p w14:paraId="41F553CD" w14:textId="77777777" w:rsidR="00DF3BF4" w:rsidRDefault="00DF3BF4" w:rsidP="00DF3BF4">
      <w:pPr>
        <w:ind w:firstLineChars="100" w:firstLine="320"/>
        <w:rPr>
          <w:rFonts w:ascii="仿宋_GB2312" w:eastAsia="仿宋_GB2312" w:hAnsi="仿宋_GB2312" w:cs="仿宋_GB2312"/>
          <w:sz w:val="32"/>
          <w:szCs w:val="32"/>
        </w:rPr>
      </w:pPr>
    </w:p>
    <w:p w14:paraId="7B9CC572" w14:textId="1D9F12CA" w:rsidR="00DF3BF4" w:rsidRDefault="00DF3BF4" w:rsidP="00DF3BF4">
      <w:pPr>
        <w:widowControl/>
        <w:pBdr>
          <w:top w:val="single" w:sz="6" w:space="0" w:color="auto"/>
          <w:bottom w:val="single" w:sz="6" w:space="1" w:color="auto"/>
        </w:pBdr>
        <w:spacing w:line="560" w:lineRule="exact"/>
        <w:jc w:val="left"/>
        <w:rPr>
          <w:rFonts w:eastAsia="仿宋_GB2312"/>
          <w:spacing w:val="20"/>
          <w:position w:val="4"/>
          <w:sz w:val="28"/>
          <w:szCs w:val="28"/>
        </w:rPr>
      </w:pPr>
      <w:r>
        <w:rPr>
          <w:rFonts w:eastAsia="仿宋_GB2312"/>
          <w:spacing w:val="20"/>
          <w:position w:val="4"/>
          <w:sz w:val="28"/>
          <w:szCs w:val="28"/>
        </w:rPr>
        <w:t>贵州大学</w:t>
      </w:r>
      <w:r>
        <w:rPr>
          <w:rFonts w:eastAsia="仿宋_GB2312" w:hint="eastAsia"/>
          <w:spacing w:val="20"/>
          <w:position w:val="4"/>
          <w:sz w:val="28"/>
          <w:szCs w:val="28"/>
        </w:rPr>
        <w:t>烟草学院党政办公室</w:t>
      </w:r>
      <w:r>
        <w:rPr>
          <w:rFonts w:eastAsia="仿宋_GB2312"/>
          <w:spacing w:val="20"/>
          <w:position w:val="4"/>
          <w:sz w:val="28"/>
          <w:szCs w:val="28"/>
        </w:rPr>
        <w:t xml:space="preserve">     20</w:t>
      </w:r>
      <w:r>
        <w:rPr>
          <w:rFonts w:eastAsia="仿宋_GB2312" w:hint="eastAsia"/>
          <w:spacing w:val="20"/>
          <w:position w:val="4"/>
          <w:sz w:val="28"/>
          <w:szCs w:val="28"/>
        </w:rPr>
        <w:t>2</w:t>
      </w:r>
      <w:r>
        <w:rPr>
          <w:rFonts w:eastAsia="仿宋_GB2312"/>
          <w:spacing w:val="20"/>
          <w:position w:val="4"/>
          <w:sz w:val="28"/>
          <w:szCs w:val="28"/>
        </w:rPr>
        <w:t>4</w:t>
      </w:r>
      <w:r>
        <w:rPr>
          <w:rFonts w:eastAsia="仿宋_GB2312"/>
          <w:spacing w:val="20"/>
          <w:position w:val="4"/>
          <w:sz w:val="28"/>
          <w:szCs w:val="28"/>
        </w:rPr>
        <w:t>年</w:t>
      </w:r>
      <w:r>
        <w:rPr>
          <w:rFonts w:eastAsia="仿宋_GB2312"/>
          <w:spacing w:val="20"/>
          <w:position w:val="4"/>
          <w:sz w:val="28"/>
          <w:szCs w:val="28"/>
        </w:rPr>
        <w:t>4</w:t>
      </w:r>
      <w:r>
        <w:rPr>
          <w:rFonts w:eastAsia="仿宋_GB2312"/>
          <w:spacing w:val="20"/>
          <w:position w:val="4"/>
          <w:sz w:val="28"/>
          <w:szCs w:val="28"/>
        </w:rPr>
        <w:t>月</w:t>
      </w:r>
      <w:r>
        <w:rPr>
          <w:rFonts w:eastAsia="仿宋_GB2312"/>
          <w:spacing w:val="20"/>
          <w:position w:val="4"/>
          <w:sz w:val="28"/>
          <w:szCs w:val="28"/>
        </w:rPr>
        <w:t>2</w:t>
      </w:r>
      <w:r>
        <w:rPr>
          <w:rFonts w:eastAsia="仿宋_GB2312"/>
          <w:spacing w:val="20"/>
          <w:position w:val="4"/>
          <w:sz w:val="28"/>
          <w:szCs w:val="28"/>
        </w:rPr>
        <w:t>4</w:t>
      </w:r>
      <w:r>
        <w:rPr>
          <w:rFonts w:eastAsia="仿宋_GB2312" w:hint="eastAsia"/>
          <w:spacing w:val="20"/>
          <w:position w:val="4"/>
          <w:sz w:val="28"/>
          <w:szCs w:val="28"/>
        </w:rPr>
        <w:t>日</w:t>
      </w:r>
      <w:r>
        <w:rPr>
          <w:rFonts w:eastAsia="仿宋_GB2312"/>
          <w:spacing w:val="20"/>
          <w:position w:val="4"/>
          <w:sz w:val="28"/>
          <w:szCs w:val="28"/>
        </w:rPr>
        <w:t>印发</w:t>
      </w:r>
    </w:p>
    <w:p w14:paraId="71702DC7" w14:textId="7DF4B809" w:rsidR="00171345" w:rsidRPr="00171345" w:rsidRDefault="00171345" w:rsidP="00171345">
      <w:pPr>
        <w:spacing w:line="600" w:lineRule="exact"/>
        <w:rPr>
          <w:rFonts w:ascii="仿宋_GB2312" w:eastAsia="仿宋_GB2312" w:hAnsi="方正小标宋简体" w:cs="方正小标宋简体" w:hint="eastAsia"/>
          <w:sz w:val="32"/>
          <w:szCs w:val="32"/>
        </w:rPr>
      </w:pPr>
      <w:r w:rsidRPr="00171345">
        <w:rPr>
          <w:rFonts w:ascii="仿宋_GB2312" w:eastAsia="仿宋_GB2312" w:hAnsi="方正小标宋简体" w:cs="方正小标宋简体" w:hint="eastAsia"/>
          <w:sz w:val="32"/>
          <w:szCs w:val="32"/>
        </w:rPr>
        <w:lastRenderedPageBreak/>
        <w:t>附件：</w:t>
      </w:r>
    </w:p>
    <w:p w14:paraId="33388539" w14:textId="0D64DC9D" w:rsidR="003754A5" w:rsidRPr="008156D0" w:rsidRDefault="00360C10" w:rsidP="008156D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贵州大学烟草学院硕士研究生导师招生资格年度审核管理办法（修订）</w:t>
      </w:r>
    </w:p>
    <w:p w14:paraId="1A5BA6CA" w14:textId="77777777" w:rsidR="003754A5" w:rsidRDefault="00360C10">
      <w:pPr>
        <w:spacing w:beforeLines="50" w:before="156"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全面贯彻和推进学校研究生导师招生资格年审工作，落实研究生导师由身份管理转变为岗位管理的通知要求，实施研究生导师招生资格年审制，加强我院硕士研究生指导教师（以下简称“导师”）队伍的建设和管理，提高研究生培养质量，经研究，决定对原有贵州大学烟草学院硕士研究生导师年度审核管理办法进行修订，具体内容如下：</w:t>
      </w:r>
    </w:p>
    <w:p w14:paraId="491A4702" w14:textId="77777777" w:rsidR="003754A5" w:rsidRDefault="00360C10">
      <w:pPr>
        <w:spacing w:line="60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一、基本条件</w:t>
      </w:r>
    </w:p>
    <w:p w14:paraId="1022F757" w14:textId="77777777" w:rsidR="003754A5" w:rsidRDefault="00360C10">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申请者除须满足校研究生院当年发布的硕士研究生导师资格审查工作通知中“申请条件”外，还须满足以下条件：</w:t>
      </w:r>
    </w:p>
    <w:p w14:paraId="28776F64"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sz w:val="32"/>
          <w:szCs w:val="32"/>
        </w:rPr>
        <w:t>首次申请者，申请的学位点须与专业技术聘用岗位一致；其聘用岗位暂无二级学科硕士点方向的，可申请专业技术聘用岗位所在一级学科的其他二级硕士点方向；</w:t>
      </w:r>
    </w:p>
    <w:p w14:paraId="08F91E4E"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校内</w:t>
      </w:r>
      <w:r>
        <w:rPr>
          <w:rFonts w:ascii="仿宋_GB2312" w:eastAsia="仿宋_GB2312" w:hAnsi="仿宋_GB2312" w:cs="仿宋_GB2312" w:hint="eastAsia"/>
          <w:sz w:val="32"/>
          <w:szCs w:val="32"/>
        </w:rPr>
        <w:t>申请者需具有</w:t>
      </w:r>
      <w:r>
        <w:rPr>
          <w:rFonts w:ascii="仿宋_GB2312" w:eastAsia="仿宋_GB2312" w:hAnsi="仿宋_GB2312" w:cs="仿宋_GB2312"/>
          <w:sz w:val="32"/>
          <w:szCs w:val="32"/>
        </w:rPr>
        <w:t>高校教师资格证</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岗前培训合格证</w:t>
      </w:r>
      <w:r>
        <w:rPr>
          <w:rFonts w:ascii="仿宋_GB2312" w:eastAsia="仿宋_GB2312" w:hAnsi="仿宋_GB2312" w:cs="仿宋_GB2312" w:hint="eastAsia"/>
          <w:sz w:val="32"/>
          <w:szCs w:val="32"/>
        </w:rPr>
        <w:t>。校外申请者须提供所在单位人事部门提供的在职证明和知情同意证明；</w:t>
      </w:r>
    </w:p>
    <w:p w14:paraId="580C5B0B"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.具备开设1-2门本专业硕士研究生课程的能力，具有本学科坚实的基础理论及专业知识，有明确的科研方向，能独立指导硕士研究生的学位论文；</w:t>
      </w:r>
    </w:p>
    <w:p w14:paraId="6D0DA47D"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.近三年主持省级以上科研项目或烟草行业科技项目1项，年均纵向科研经费3.0万元以上或年均横向科研经费5.0</w:t>
      </w:r>
      <w:r>
        <w:rPr>
          <w:rFonts w:ascii="仿宋_GB2312" w:eastAsia="仿宋_GB2312" w:hAnsi="仿宋_GB2312" w:cs="仿宋_GB2312" w:hint="eastAsia"/>
          <w:sz w:val="32"/>
          <w:szCs w:val="32"/>
        </w:rPr>
        <w:lastRenderedPageBreak/>
        <w:t>万元以上，并在所申请的学科专业内取得以下科研、学术及教学业绩之一：</w:t>
      </w:r>
    </w:p>
    <w:p w14:paraId="3F6C340A"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（1）以第一作者/通讯作者发表具有较高水平的学术论文3篇以上，其中至少1篇发表在贵州大学国内一级学术期刊以上；</w:t>
      </w:r>
    </w:p>
    <w:p w14:paraId="35153B60"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（2）独立或以第一作者身份出版专著、译著或教材1部以上(不少于15万字)，同时作为第一作者/通讯作者在SCD以上期刊发表学术论文1篇以上；</w:t>
      </w:r>
    </w:p>
    <w:p w14:paraId="0A93A041"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（3）主持国家自然科学基金或国家级科研课题或国家级工程项目或省级科研课题1项，同时作为第一作者/通讯作者在SCD以上期刊发表学术论文1篇以上；</w:t>
      </w:r>
    </w:p>
    <w:p w14:paraId="5C7790F0"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（4）获国家级、省部级科研成果奖或获省部级优秀教学成果奖(一等奖排名须在前五，二等奖排名须在前四，三等奖排名须在前三)，同时作为第一作者/通讯作者在SCD以上期刊发表学术论文1篇以上；</w:t>
      </w:r>
    </w:p>
    <w:p w14:paraId="72003149"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（5）获得“青教赛”或“创新赛”校赛一等奖或省赛二等奖以上；同时作为第一作者/通讯作者在SCD以上期刊发表学术论文1篇以上；</w:t>
      </w:r>
    </w:p>
    <w:p w14:paraId="0C6F9F28"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（6）获批省级、国家级“金课”（一流课程）负责人，同时作为第一作者/通讯作者在SCD以上期刊发表学术论文1篇以上；</w:t>
      </w:r>
    </w:p>
    <w:p w14:paraId="313968B8"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（7）育成通过审定的作物品种1个（国家级审定育成人排名前三，省级审定育成人排名前二），同时作为第一作者/</w:t>
      </w:r>
      <w:r>
        <w:rPr>
          <w:rFonts w:ascii="仿宋_GB2312" w:eastAsia="仿宋_GB2312" w:hAnsi="仿宋_GB2312" w:cs="仿宋_GB2312" w:hint="eastAsia"/>
          <w:sz w:val="32"/>
          <w:szCs w:val="32"/>
        </w:rPr>
        <w:lastRenderedPageBreak/>
        <w:t>通讯作者在SCD以上期刊发表学术论文1篇以上；</w:t>
      </w:r>
    </w:p>
    <w:p w14:paraId="0273349D"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（8）发布标准1个（国家标准起草人排名前三，省级地方标准起草人排名第一），同时作为第一作者/通讯作者在SCD以上期刊发表学术论文1篇以上；</w:t>
      </w:r>
    </w:p>
    <w:p w14:paraId="18B60F61"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在科技成果转化方面做出重大贡献，取得显著社会、经济效益，并为本单位创纯利15万元以上，经同行专家公认在学术、技术上达到省内领先水平(须报专题材料)，同时作为第一作者/通讯作者在SCD以上期刊发表学术论文1篇以上；</w:t>
      </w:r>
    </w:p>
    <w:p w14:paraId="1B78B364"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（10）获授权的国家发明专利1项(排名第一)，同时作为第一作者/通讯作者在SCD以上期刊发表学术论文1篇以上。</w:t>
      </w:r>
    </w:p>
    <w:p w14:paraId="0086C1D3" w14:textId="77777777" w:rsidR="003754A5" w:rsidRDefault="00360C10">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（11）</w:t>
      </w:r>
      <w:r>
        <w:rPr>
          <w:rFonts w:ascii="仿宋_GB2312" w:eastAsia="仿宋_GB2312"/>
          <w:sz w:val="32"/>
          <w:szCs w:val="32"/>
        </w:rPr>
        <w:t>作为排名第一的指导教师，指导学生参加</w:t>
      </w:r>
      <w:r>
        <w:rPr>
          <w:rFonts w:ascii="仿宋_GB2312" w:eastAsia="仿宋_GB2312" w:hint="eastAsia"/>
          <w:sz w:val="32"/>
          <w:szCs w:val="32"/>
        </w:rPr>
        <w:t>“</w:t>
      </w:r>
      <w:r>
        <w:rPr>
          <w:rFonts w:ascii="仿宋_GB2312" w:eastAsia="仿宋_GB2312"/>
          <w:sz w:val="32"/>
          <w:szCs w:val="32"/>
        </w:rPr>
        <w:t>挑战杯</w:t>
      </w:r>
      <w:r>
        <w:rPr>
          <w:rFonts w:ascii="仿宋_GB2312" w:eastAsia="仿宋_GB2312" w:hint="eastAsia"/>
          <w:sz w:val="32"/>
          <w:szCs w:val="32"/>
        </w:rPr>
        <w:t>”、“中国国际大学生创新大赛（原</w:t>
      </w:r>
      <w:r>
        <w:rPr>
          <w:rFonts w:ascii="仿宋_GB2312" w:eastAsia="仿宋_GB2312"/>
          <w:sz w:val="32"/>
          <w:szCs w:val="32"/>
        </w:rPr>
        <w:t>互联网+</w:t>
      </w:r>
      <w:r>
        <w:rPr>
          <w:rFonts w:ascii="仿宋_GB2312" w:eastAsia="仿宋_GB2312" w:hint="eastAsia"/>
          <w:sz w:val="32"/>
          <w:szCs w:val="32"/>
        </w:rPr>
        <w:t>）”、“</w:t>
      </w:r>
      <w:r>
        <w:rPr>
          <w:rFonts w:ascii="仿宋_GB2312" w:eastAsia="仿宋_GB2312"/>
          <w:sz w:val="32"/>
          <w:szCs w:val="32"/>
        </w:rPr>
        <w:t>研究生创新系列大赛</w:t>
      </w:r>
      <w:r>
        <w:rPr>
          <w:rFonts w:ascii="仿宋_GB2312" w:eastAsia="仿宋_GB2312" w:hint="eastAsia"/>
          <w:sz w:val="32"/>
          <w:szCs w:val="32"/>
        </w:rPr>
        <w:t>”以及教育部认可的全国普通高校大学生竞赛，</w:t>
      </w:r>
      <w:r>
        <w:rPr>
          <w:rFonts w:ascii="仿宋_GB2312" w:eastAsia="仿宋_GB2312"/>
          <w:sz w:val="32"/>
          <w:szCs w:val="32"/>
        </w:rPr>
        <w:t>并获</w:t>
      </w:r>
      <w:r>
        <w:rPr>
          <w:rFonts w:ascii="仿宋_GB2312" w:eastAsia="仿宋_GB2312" w:hint="eastAsia"/>
          <w:sz w:val="32"/>
          <w:szCs w:val="32"/>
        </w:rPr>
        <w:t>省级一等奖以上或国家级二等奖以上</w:t>
      </w:r>
      <w:r>
        <w:rPr>
          <w:rFonts w:ascii="仿宋_GB2312" w:eastAsia="仿宋_GB2312"/>
          <w:sz w:val="32"/>
          <w:szCs w:val="32"/>
        </w:rPr>
        <w:t>奖项。</w:t>
      </w:r>
    </w:p>
    <w:p w14:paraId="4CC65B7F" w14:textId="77777777" w:rsidR="003754A5" w:rsidRDefault="00360C10">
      <w:pPr>
        <w:spacing w:line="600" w:lineRule="exact"/>
        <w:ind w:firstLineChars="200" w:firstLine="640"/>
        <w:rPr>
          <w:rFonts w:ascii="仿宋_GB2312" w:eastAsia="仿宋_GB2312"/>
          <w:sz w:val="32"/>
          <w:szCs w:val="32"/>
        </w:rPr>
      </w:pPr>
      <w:r>
        <w:rPr>
          <w:rFonts w:ascii="仿宋_GB2312" w:eastAsia="仿宋_GB2312" w:hint="eastAsia"/>
          <w:sz w:val="32"/>
          <w:szCs w:val="32"/>
        </w:rPr>
        <w:t>基本条件中，提及</w:t>
      </w:r>
      <w:r>
        <w:rPr>
          <w:rFonts w:ascii="仿宋_GB2312" w:eastAsia="仿宋_GB2312"/>
          <w:sz w:val="32"/>
          <w:szCs w:val="32"/>
        </w:rPr>
        <w:t>“</w:t>
      </w:r>
      <w:r>
        <w:rPr>
          <w:rFonts w:ascii="仿宋_GB2312" w:eastAsia="仿宋_GB2312" w:hint="eastAsia"/>
          <w:sz w:val="32"/>
          <w:szCs w:val="32"/>
        </w:rPr>
        <w:t>以上</w:t>
      </w:r>
      <w:r>
        <w:rPr>
          <w:rFonts w:ascii="仿宋_GB2312" w:eastAsia="仿宋_GB2312"/>
          <w:sz w:val="32"/>
          <w:szCs w:val="32"/>
        </w:rPr>
        <w:t>”</w:t>
      </w:r>
      <w:r>
        <w:rPr>
          <w:rFonts w:ascii="仿宋_GB2312" w:eastAsia="仿宋_GB2312" w:hint="eastAsia"/>
          <w:sz w:val="32"/>
          <w:szCs w:val="32"/>
        </w:rPr>
        <w:t>者，均包含本级在内。</w:t>
      </w:r>
    </w:p>
    <w:p w14:paraId="70B0F88B" w14:textId="77777777" w:rsidR="003754A5" w:rsidRDefault="00360C10">
      <w:pPr>
        <w:spacing w:beforeLines="100" w:before="312" w:line="600" w:lineRule="exact"/>
        <w:ind w:firstLineChars="200" w:firstLine="640"/>
        <w:rPr>
          <w:rFonts w:ascii="黑体" w:eastAsia="黑体" w:hAnsi="黑体" w:cs="黑体"/>
          <w:sz w:val="32"/>
          <w:szCs w:val="32"/>
        </w:rPr>
      </w:pPr>
      <w:r>
        <w:rPr>
          <w:rFonts w:ascii="黑体" w:eastAsia="黑体" w:hAnsi="黑体" w:cs="黑体" w:hint="eastAsia"/>
          <w:sz w:val="32"/>
          <w:szCs w:val="32"/>
        </w:rPr>
        <w:t>二、审核要求</w:t>
      </w:r>
    </w:p>
    <w:p w14:paraId="503BD6E5" w14:textId="77777777" w:rsidR="003754A5" w:rsidRDefault="00360C10">
      <w:pPr>
        <w:spacing w:line="6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1.年度审核时间和工作程序按照学校当年的硕士</w:t>
      </w:r>
      <w:r>
        <w:rPr>
          <w:rFonts w:ascii="仿宋_GB2312" w:eastAsia="仿宋_GB2312" w:hAnsi="仿宋_GB2312" w:cs="仿宋_GB2312" w:hint="eastAsia"/>
          <w:color w:val="000000"/>
          <w:sz w:val="32"/>
          <w:szCs w:val="32"/>
        </w:rPr>
        <w:t>研究生导师资格审核</w:t>
      </w:r>
      <w:r>
        <w:rPr>
          <w:rFonts w:ascii="仿宋_GB2312" w:eastAsia="仿宋_GB2312" w:hAnsi="仿宋_GB2312" w:cs="仿宋_GB2312" w:hint="eastAsia"/>
          <w:sz w:val="32"/>
          <w:szCs w:val="32"/>
        </w:rPr>
        <w:t>文件要求执行；</w:t>
      </w:r>
    </w:p>
    <w:p w14:paraId="22AFE656"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int="eastAsia"/>
          <w:sz w:val="32"/>
          <w:szCs w:val="32"/>
        </w:rPr>
        <w:t>审核过程中，注重导师队伍结构优化，加强对教师政治素质、师德师风、学术水平、育人能力、指导经验和培养</w:t>
      </w:r>
      <w:r>
        <w:rPr>
          <w:rFonts w:ascii="仿宋_GB2312" w:eastAsia="仿宋_GB2312" w:hint="eastAsia"/>
          <w:sz w:val="32"/>
          <w:szCs w:val="32"/>
        </w:rPr>
        <w:lastRenderedPageBreak/>
        <w:t>条件等方面的考核与评价，实行师德师风负面清单“一票否决”；</w:t>
      </w:r>
    </w:p>
    <w:p w14:paraId="51242E3C" w14:textId="77777777" w:rsidR="003754A5" w:rsidRDefault="00360C1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.申请人如在申请过程中提供虚假信息，一经查实，取消其导师岗位申请资格，5年内不得再申请；</w:t>
      </w:r>
    </w:p>
    <w:p w14:paraId="740E8817" w14:textId="77777777" w:rsidR="003754A5" w:rsidRDefault="00360C1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4.省级烟草公司项目视为省级项目；</w:t>
      </w:r>
    </w:p>
    <w:p w14:paraId="6C87C174" w14:textId="77777777" w:rsidR="003754A5" w:rsidRDefault="00360C1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5.指导硕士研究生10届以上的导师，可适当放宽条件，由院学位评定分委员会审定；</w:t>
      </w:r>
    </w:p>
    <w:p w14:paraId="2F157CF2" w14:textId="7604BC22" w:rsidR="003754A5" w:rsidRDefault="00360C1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6.引进的高层次人才（一流学科特岗人才、享受校聘副教授待遇不超过3年（含）的教师），可随时提交硕士研究生导师招生资格审核申请，由院学位评定分委员会审定。</w:t>
      </w:r>
    </w:p>
    <w:p w14:paraId="2EB25A4A" w14:textId="0EAC851B" w:rsidR="00D13DCC" w:rsidRPr="00D13DCC" w:rsidRDefault="00D13DCC">
      <w:pPr>
        <w:spacing w:line="600" w:lineRule="exact"/>
        <w:ind w:firstLine="640"/>
        <w:rPr>
          <w:rFonts w:ascii="黑体" w:eastAsia="黑体" w:hAnsi="黑体" w:cs="仿宋_GB2312"/>
          <w:sz w:val="32"/>
          <w:szCs w:val="32"/>
        </w:rPr>
      </w:pPr>
      <w:r w:rsidRPr="00D13DCC">
        <w:rPr>
          <w:rFonts w:ascii="黑体" w:eastAsia="黑体" w:hAnsi="黑体" w:cs="仿宋_GB2312" w:hint="eastAsia"/>
          <w:sz w:val="32"/>
          <w:szCs w:val="32"/>
        </w:rPr>
        <w:t>三、附则</w:t>
      </w:r>
    </w:p>
    <w:p w14:paraId="0B7B08A5" w14:textId="29A7F411" w:rsidR="00D13DCC" w:rsidRDefault="00D13DCC">
      <w:pPr>
        <w:spacing w:line="600" w:lineRule="exact"/>
        <w:ind w:firstLine="640"/>
        <w:rPr>
          <w:rFonts w:ascii="仿宋_GB2312" w:eastAsia="仿宋_GB2312" w:hAnsi="仿宋_GB2312" w:cs="仿宋_GB2312" w:hint="eastAsia"/>
          <w:sz w:val="32"/>
          <w:szCs w:val="32"/>
        </w:rPr>
      </w:pPr>
      <w:bookmarkStart w:id="0" w:name="_GoBack"/>
      <w:bookmarkEnd w:id="0"/>
      <w:r w:rsidRPr="00D13DCC">
        <w:rPr>
          <w:rFonts w:ascii="仿宋_GB2312" w:eastAsia="仿宋_GB2312" w:hAnsi="仿宋_GB2312" w:cs="仿宋_GB2312"/>
          <w:sz w:val="32"/>
          <w:szCs w:val="32"/>
        </w:rPr>
        <w:t>本办法自发布之日起实施，由</w:t>
      </w:r>
      <w:r w:rsidRPr="00D13DCC">
        <w:rPr>
          <w:rFonts w:ascii="仿宋_GB2312" w:eastAsia="仿宋_GB2312" w:hAnsi="仿宋_GB2312" w:cs="仿宋_GB2312" w:hint="eastAsia"/>
          <w:sz w:val="32"/>
          <w:szCs w:val="32"/>
        </w:rPr>
        <w:t>烟草学院</w:t>
      </w:r>
      <w:r w:rsidRPr="00D13DCC">
        <w:rPr>
          <w:rFonts w:ascii="仿宋_GB2312" w:eastAsia="仿宋_GB2312" w:hAnsi="仿宋_GB2312" w:cs="仿宋_GB2312"/>
          <w:sz w:val="32"/>
          <w:szCs w:val="32"/>
        </w:rPr>
        <w:t>负责解释。原《</w:t>
      </w:r>
      <w:r w:rsidRPr="00D13DCC">
        <w:rPr>
          <w:rFonts w:ascii="仿宋_GB2312" w:eastAsia="仿宋_GB2312" w:hAnsi="仿宋_GB2312" w:cs="仿宋_GB2312" w:hint="eastAsia"/>
          <w:sz w:val="32"/>
          <w:szCs w:val="32"/>
        </w:rPr>
        <w:t>贵州大学烟草学院硕士研究生导师招生资格年度审核管理办法</w:t>
      </w:r>
      <w:r w:rsidRPr="00D13DCC">
        <w:rPr>
          <w:rFonts w:ascii="仿宋_GB2312" w:eastAsia="仿宋_GB2312" w:hAnsi="仿宋_GB2312" w:cs="仿宋_GB2312"/>
          <w:sz w:val="32"/>
          <w:szCs w:val="32"/>
        </w:rPr>
        <w:t>》（</w:t>
      </w:r>
      <w:r>
        <w:rPr>
          <w:rFonts w:ascii="仿宋_GB2312" w:eastAsia="仿宋_GB2312" w:hAnsi="仿宋_GB2312" w:cs="仿宋_GB2312" w:hint="eastAsia"/>
          <w:sz w:val="32"/>
          <w:szCs w:val="32"/>
        </w:rPr>
        <w:t>院发</w:t>
      </w:r>
      <w:r w:rsidRPr="00D13DCC">
        <w:rPr>
          <w:rFonts w:ascii="仿宋_GB2312" w:eastAsia="仿宋_GB2312" w:hAnsi="仿宋_GB2312" w:cs="仿宋_GB2312"/>
          <w:sz w:val="32"/>
          <w:szCs w:val="32"/>
        </w:rPr>
        <w:t>〔2020〕</w:t>
      </w:r>
      <w:r>
        <w:rPr>
          <w:rFonts w:ascii="仿宋_GB2312" w:eastAsia="仿宋_GB2312" w:hAnsi="仿宋_GB2312" w:cs="仿宋_GB2312"/>
          <w:sz w:val="32"/>
          <w:szCs w:val="32"/>
        </w:rPr>
        <w:t>12</w:t>
      </w:r>
      <w:r w:rsidRPr="00D13DCC">
        <w:rPr>
          <w:rFonts w:ascii="仿宋_GB2312" w:eastAsia="仿宋_GB2312" w:hAnsi="仿宋_GB2312" w:cs="仿宋_GB2312"/>
          <w:sz w:val="32"/>
          <w:szCs w:val="32"/>
        </w:rPr>
        <w:t>号）自本规定发布之日起废止。</w:t>
      </w:r>
    </w:p>
    <w:sectPr w:rsidR="00D13D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2AAE3" w14:textId="77777777" w:rsidR="005B0C9F" w:rsidRDefault="005B0C9F" w:rsidP="008156D0">
      <w:r>
        <w:separator/>
      </w:r>
    </w:p>
  </w:endnote>
  <w:endnote w:type="continuationSeparator" w:id="0">
    <w:p w14:paraId="1DB749D8" w14:textId="77777777" w:rsidR="005B0C9F" w:rsidRDefault="005B0C9F" w:rsidP="008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embedBold r:id="rId1" w:subsetted="1" w:fontKey="{BE86EA2E-DC63-4FC2-BBAE-F44853AF1A18}"/>
  </w:font>
  <w:font w:name="仿宋_GB2312">
    <w:panose1 w:val="02010609030101010101"/>
    <w:charset w:val="86"/>
    <w:family w:val="modern"/>
    <w:pitch w:val="fixed"/>
    <w:sig w:usb0="00000001" w:usb1="080E0000" w:usb2="00000010" w:usb3="00000000" w:csb0="00040000" w:csb1="00000000"/>
    <w:embedRegular r:id="rId2" w:subsetted="1" w:fontKey="{4BDCFA90-1432-4B20-8BA3-1DE188D44BA7}"/>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3" w:subsetted="1" w:fontKey="{2771458B-FE40-45E9-8DD1-F1A369572032}"/>
  </w:font>
  <w:font w:name="黑体">
    <w:altName w:val="SimHei"/>
    <w:panose1 w:val="02010609060101010101"/>
    <w:charset w:val="86"/>
    <w:family w:val="modern"/>
    <w:pitch w:val="fixed"/>
    <w:sig w:usb0="800002BF" w:usb1="38CF7CFA" w:usb2="00000016" w:usb3="00000000" w:csb0="00040001" w:csb1="00000000"/>
    <w:embedRegular r:id="rId4" w:subsetted="1" w:fontKey="{C1380A92-D583-4429-A7B9-8129A40E0B47}"/>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B85DD" w14:textId="77777777" w:rsidR="005B0C9F" w:rsidRDefault="005B0C9F" w:rsidP="008156D0">
      <w:r>
        <w:separator/>
      </w:r>
    </w:p>
  </w:footnote>
  <w:footnote w:type="continuationSeparator" w:id="0">
    <w:p w14:paraId="39FE4CD4" w14:textId="77777777" w:rsidR="005B0C9F" w:rsidRDefault="005B0C9F" w:rsidP="00815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kNWM3ZTEzM2YyNGUyMjIwMTYxMmM0YzYyZmE2ZmMifQ=="/>
  </w:docVars>
  <w:rsids>
    <w:rsidRoot w:val="134F28D0"/>
    <w:rsid w:val="00034689"/>
    <w:rsid w:val="000C0B6F"/>
    <w:rsid w:val="000E66D9"/>
    <w:rsid w:val="000F67CC"/>
    <w:rsid w:val="00104D1B"/>
    <w:rsid w:val="00171345"/>
    <w:rsid w:val="0017404B"/>
    <w:rsid w:val="001877A1"/>
    <w:rsid w:val="00190E42"/>
    <w:rsid w:val="001E6543"/>
    <w:rsid w:val="002167E5"/>
    <w:rsid w:val="00225AB3"/>
    <w:rsid w:val="0023462C"/>
    <w:rsid w:val="00260674"/>
    <w:rsid w:val="002705AE"/>
    <w:rsid w:val="00360C10"/>
    <w:rsid w:val="003754A5"/>
    <w:rsid w:val="00401E2D"/>
    <w:rsid w:val="004021E9"/>
    <w:rsid w:val="004136E3"/>
    <w:rsid w:val="00422528"/>
    <w:rsid w:val="00463BA9"/>
    <w:rsid w:val="00476320"/>
    <w:rsid w:val="004805F5"/>
    <w:rsid w:val="00484CF8"/>
    <w:rsid w:val="00512081"/>
    <w:rsid w:val="005B0C9F"/>
    <w:rsid w:val="005C22F1"/>
    <w:rsid w:val="005D7037"/>
    <w:rsid w:val="005F4C51"/>
    <w:rsid w:val="00612E84"/>
    <w:rsid w:val="006447B5"/>
    <w:rsid w:val="006856D2"/>
    <w:rsid w:val="006B0C71"/>
    <w:rsid w:val="006C0865"/>
    <w:rsid w:val="006C2E82"/>
    <w:rsid w:val="006E3ACC"/>
    <w:rsid w:val="00720B79"/>
    <w:rsid w:val="00724984"/>
    <w:rsid w:val="00773ADE"/>
    <w:rsid w:val="00795697"/>
    <w:rsid w:val="007B48F2"/>
    <w:rsid w:val="007E53D1"/>
    <w:rsid w:val="008156D0"/>
    <w:rsid w:val="00866786"/>
    <w:rsid w:val="00894DA8"/>
    <w:rsid w:val="0090634C"/>
    <w:rsid w:val="009110D1"/>
    <w:rsid w:val="00963B59"/>
    <w:rsid w:val="009A1A37"/>
    <w:rsid w:val="009B4880"/>
    <w:rsid w:val="00A06750"/>
    <w:rsid w:val="00A13A4A"/>
    <w:rsid w:val="00A55819"/>
    <w:rsid w:val="00AF0BBF"/>
    <w:rsid w:val="00AF42C7"/>
    <w:rsid w:val="00B22649"/>
    <w:rsid w:val="00B360AA"/>
    <w:rsid w:val="00B61160"/>
    <w:rsid w:val="00B63931"/>
    <w:rsid w:val="00B77A3E"/>
    <w:rsid w:val="00BA2B8C"/>
    <w:rsid w:val="00BA48DF"/>
    <w:rsid w:val="00BD1BB5"/>
    <w:rsid w:val="00BF427C"/>
    <w:rsid w:val="00BF7DBC"/>
    <w:rsid w:val="00C006D2"/>
    <w:rsid w:val="00C25538"/>
    <w:rsid w:val="00C3139C"/>
    <w:rsid w:val="00C31910"/>
    <w:rsid w:val="00C32714"/>
    <w:rsid w:val="00CC6C69"/>
    <w:rsid w:val="00CE2A9C"/>
    <w:rsid w:val="00CF729E"/>
    <w:rsid w:val="00D13DCC"/>
    <w:rsid w:val="00D53307"/>
    <w:rsid w:val="00D569F9"/>
    <w:rsid w:val="00D66BA2"/>
    <w:rsid w:val="00DE1770"/>
    <w:rsid w:val="00DF1C10"/>
    <w:rsid w:val="00DF3BF4"/>
    <w:rsid w:val="00E37F9F"/>
    <w:rsid w:val="00E6530C"/>
    <w:rsid w:val="00E76F9A"/>
    <w:rsid w:val="00EC1AB0"/>
    <w:rsid w:val="00F0426C"/>
    <w:rsid w:val="00F6032C"/>
    <w:rsid w:val="00FC01C1"/>
    <w:rsid w:val="00FC6A22"/>
    <w:rsid w:val="00FD689E"/>
    <w:rsid w:val="00FF66D6"/>
    <w:rsid w:val="02BA2133"/>
    <w:rsid w:val="02BB00C8"/>
    <w:rsid w:val="050A2EA9"/>
    <w:rsid w:val="067F28ED"/>
    <w:rsid w:val="068E3E30"/>
    <w:rsid w:val="0DAE1EAE"/>
    <w:rsid w:val="0FAC0BEF"/>
    <w:rsid w:val="134B2686"/>
    <w:rsid w:val="134F28D0"/>
    <w:rsid w:val="136439F7"/>
    <w:rsid w:val="140B1C34"/>
    <w:rsid w:val="155222E1"/>
    <w:rsid w:val="16035C6A"/>
    <w:rsid w:val="19222CC1"/>
    <w:rsid w:val="1A434259"/>
    <w:rsid w:val="1C0E1318"/>
    <w:rsid w:val="20DB0DF9"/>
    <w:rsid w:val="25F67FD4"/>
    <w:rsid w:val="26FA15BD"/>
    <w:rsid w:val="2E09392C"/>
    <w:rsid w:val="2E535431"/>
    <w:rsid w:val="2ECE678D"/>
    <w:rsid w:val="33C87900"/>
    <w:rsid w:val="3C593025"/>
    <w:rsid w:val="40E75163"/>
    <w:rsid w:val="42CD650F"/>
    <w:rsid w:val="459C47DE"/>
    <w:rsid w:val="4F69691D"/>
    <w:rsid w:val="509B083A"/>
    <w:rsid w:val="56170748"/>
    <w:rsid w:val="59B905F1"/>
    <w:rsid w:val="5AA87BAC"/>
    <w:rsid w:val="5BD65206"/>
    <w:rsid w:val="60405256"/>
    <w:rsid w:val="604D4F66"/>
    <w:rsid w:val="68795D5B"/>
    <w:rsid w:val="6C156938"/>
    <w:rsid w:val="6ECC622F"/>
    <w:rsid w:val="6F34733B"/>
    <w:rsid w:val="76F63CA7"/>
    <w:rsid w:val="78A051A2"/>
    <w:rsid w:val="7A3D6729"/>
    <w:rsid w:val="7DE97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574677"/>
  <w15:docId w15:val="{8047F3F7-BACE-4D0D-8786-0376E1AA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autoRedefine/>
    <w:qFormat/>
    <w:rPr>
      <w:sz w:val="18"/>
      <w:szCs w:val="18"/>
    </w:rPr>
  </w:style>
  <w:style w:type="paragraph" w:styleId="a6">
    <w:name w:val="footer"/>
    <w:basedOn w:val="a"/>
    <w:link w:val="a7"/>
    <w:autoRedefine/>
    <w:qFormat/>
    <w:pPr>
      <w:tabs>
        <w:tab w:val="center" w:pos="4153"/>
        <w:tab w:val="right" w:pos="8306"/>
      </w:tabs>
      <w:snapToGrid w:val="0"/>
      <w:jc w:val="left"/>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autoRedefine/>
    <w:qFormat/>
    <w:rPr>
      <w:sz w:val="21"/>
      <w:szCs w:val="21"/>
    </w:rPr>
  </w:style>
  <w:style w:type="character" w:customStyle="1" w:styleId="a9">
    <w:name w:val="页眉 字符"/>
    <w:basedOn w:val="a0"/>
    <w:link w:val="a8"/>
    <w:autoRedefine/>
    <w:qFormat/>
    <w:rPr>
      <w:rFonts w:ascii="Times New Roman" w:eastAsia="宋体" w:hAnsi="Times New Roman" w:cs="Times New Roman"/>
      <w:kern w:val="2"/>
      <w:sz w:val="18"/>
      <w:szCs w:val="18"/>
    </w:rPr>
  </w:style>
  <w:style w:type="character" w:customStyle="1" w:styleId="a7">
    <w:name w:val="页脚 字符"/>
    <w:basedOn w:val="a0"/>
    <w:link w:val="a6"/>
    <w:qFormat/>
    <w:rPr>
      <w:rFonts w:ascii="Times New Roman" w:eastAsia="宋体" w:hAnsi="Times New Roman" w:cs="Times New Roman"/>
      <w:kern w:val="2"/>
      <w:sz w:val="18"/>
      <w:szCs w:val="18"/>
    </w:rPr>
  </w:style>
  <w:style w:type="character" w:customStyle="1" w:styleId="a5">
    <w:name w:val="批注框文本 字符"/>
    <w:basedOn w:val="a0"/>
    <w:link w:val="a4"/>
    <w:autoRedefine/>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sanchao</dc:creator>
  <cp:lastModifiedBy>李雪非</cp:lastModifiedBy>
  <cp:revision>17</cp:revision>
  <cp:lastPrinted>2024-04-24T08:54:00Z</cp:lastPrinted>
  <dcterms:created xsi:type="dcterms:W3CDTF">2024-04-23T10:36:00Z</dcterms:created>
  <dcterms:modified xsi:type="dcterms:W3CDTF">2024-04-25T01:59:00Z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7622C2994AD7414B8B43FB250D410DAE_13</vt:lpwstr>
  </property>
</Properties>
</file>